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327"/>
        <w:contextualSpacing w:val="0"/>
        <w:rPr/>
      </w:pPr>
      <w:r w:rsidRPr="00000000" w:rsidR="00000000" w:rsidDel="00000000">
        <w:rPr>
          <w:b w:val="1"/>
          <w:sz w:val="32"/>
          <w:highlight w:val="white"/>
          <w:rtl w:val="0"/>
        </w:rPr>
        <w:t xml:space="preserve">Programma</w:t>
      </w:r>
    </w:p>
    <w:p w:rsidP="00000000" w:rsidRPr="00000000" w:rsidR="00000000" w:rsidDel="00000000" w:rsidRDefault="00000000">
      <w:pPr>
        <w:spacing w:lineRule="auto" w:after="200" w:line="327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1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heenvlucht naar Keflavik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bezoek continentenbrug, Reykjanesviti (vogelkliffen) en Gunnahver geothermisch veld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2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bezoek Kerid explosiekrater,Geysir  en Thingvellir 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3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bezoek Raufarhólshellir lavagrot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wandeling Reykjadalur bij Hveragerdi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bezoek Kleifarvatn Seltun  geothermisch veld en Strandarkirkja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overnachting omgeving Selfoss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Dag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gletsjerwandeling op de Solheimajökull o.l.v.  IJslandse gids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bezoek Dyrholey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5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bezoek Thorsmörk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bezoek lavastrand en basaltgrot Reyniskirkja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6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bezoek Skaftafell en wandeling Svartifoss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bezoek ijsmeer Jökulsarlón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7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terugreis naar Reykjavik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vrije middag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overnachting in Reykjavik</w:t>
      </w:r>
    </w:p>
    <w:p w:rsidP="00000000" w:rsidRPr="00000000" w:rsidR="00000000" w:rsidDel="00000000" w:rsidRDefault="00000000">
      <w:pPr>
        <w:spacing w:lineRule="auto" w:after="200" w:line="240"/>
        <w:contextualSpacing w:val="0"/>
        <w:rPr/>
      </w:pPr>
      <w:r w:rsidRPr="00000000" w:rsidR="00000000" w:rsidDel="00000000">
        <w:rPr>
          <w:b w:val="1"/>
          <w:highlight w:val="white"/>
          <w:rtl w:val="0"/>
        </w:rPr>
        <w:t xml:space="preserve">Dag 8</w:t>
      </w:r>
    </w:p>
    <w:p w:rsidP="00000000" w:rsidRPr="00000000" w:rsidR="00000000" w:rsidDel="00000000" w:rsidRDefault="00000000">
      <w:pPr>
        <w:spacing w:lineRule="auto" w:after="200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transfer naar de luchthaven en terugvlucht naar Nederland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dagindeling ijsland.docx</dc:title>
</cp:coreProperties>
</file>